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71BB" w14:textId="77777777" w:rsidR="00157D4C" w:rsidRPr="003D4683" w:rsidRDefault="00157D4C" w:rsidP="00157D4C">
      <w:pPr>
        <w:pStyle w:val="Title"/>
        <w:rPr>
          <w:rFonts w:ascii="Calibri" w:hAnsi="Calibri" w:cs="Calibri"/>
          <w:b/>
          <w:bCs/>
          <w:color w:val="0070C0"/>
          <w:sz w:val="48"/>
          <w:szCs w:val="48"/>
        </w:rPr>
      </w:pPr>
      <w:r w:rsidRPr="003D4683">
        <w:rPr>
          <w:rFonts w:ascii="Calibri" w:hAnsi="Calibri" w:cs="Calibri"/>
          <w:b/>
          <w:bCs/>
          <w:color w:val="0070C0"/>
          <w:sz w:val="48"/>
          <w:szCs w:val="48"/>
        </w:rPr>
        <w:t>A2M2TECH Project Newsletter – Issue 2</w:t>
      </w:r>
    </w:p>
    <w:p w14:paraId="13DBCBF5" w14:textId="77777777" w:rsidR="00157D4C" w:rsidRDefault="00157D4C" w:rsidP="00157D4C">
      <w:r>
        <w:t>Covering the third year (2023–2025)</w:t>
      </w:r>
    </w:p>
    <w:p w14:paraId="722C323F" w14:textId="77777777" w:rsidR="00157D4C" w:rsidRPr="00F56B40" w:rsidRDefault="00157D4C" w:rsidP="00157D4C">
      <w:pPr>
        <w:pStyle w:val="Heading1"/>
        <w:rPr>
          <w:b/>
          <w:bCs/>
          <w:sz w:val="28"/>
          <w:szCs w:val="28"/>
        </w:rPr>
      </w:pPr>
      <w:r w:rsidRPr="00F56B40">
        <w:rPr>
          <w:b/>
          <w:bCs/>
          <w:sz w:val="28"/>
          <w:szCs w:val="28"/>
        </w:rPr>
        <w:t>Coordinator’s Message</w:t>
      </w:r>
    </w:p>
    <w:p w14:paraId="6068B25E" w14:textId="77777777" w:rsidR="00F56B40" w:rsidRDefault="00157D4C" w:rsidP="00F56B40">
      <w:pPr>
        <w:jc w:val="both"/>
      </w:pPr>
      <w:r>
        <w:t>As A2M2TECH moves through its third and fourth years, we are proud to share the achievements, challenges, and milestones of our fellows. The project has matured into its research-intensive phase, with ESRs now actively engaged in thesis work, international secondments, and high-level scientific dissemination. Despite some difficulties, including economic and academic challenges that affected retention, the remaining fellows have demonstrated remarkable resilience and excellence.</w:t>
      </w:r>
    </w:p>
    <w:p w14:paraId="5B12BD5F" w14:textId="2B8F96FE" w:rsidR="00F56B40" w:rsidRDefault="00157D4C" w:rsidP="00F56B40">
      <w:pPr>
        <w:jc w:val="both"/>
      </w:pPr>
      <w:r>
        <w:br/>
        <w:t xml:space="preserve">Prof. Dr. Metin U. </w:t>
      </w:r>
      <w:r w:rsidR="00F56B40">
        <w:t>SALAMCI</w:t>
      </w:r>
    </w:p>
    <w:p w14:paraId="24908D3B" w14:textId="78F7C4F8" w:rsidR="00157D4C" w:rsidRDefault="00157D4C" w:rsidP="00F56B40">
      <w:pPr>
        <w:jc w:val="both"/>
      </w:pPr>
      <w:r>
        <w:t>Project Coordinator – Gazi University / EKTAM</w:t>
      </w:r>
    </w:p>
    <w:p w14:paraId="5886CB1A" w14:textId="77777777" w:rsidR="00157D4C" w:rsidRPr="00F56B40" w:rsidRDefault="00157D4C" w:rsidP="00157D4C">
      <w:pPr>
        <w:pStyle w:val="Heading1"/>
        <w:rPr>
          <w:b/>
          <w:bCs/>
          <w:sz w:val="28"/>
          <w:szCs w:val="28"/>
        </w:rPr>
      </w:pPr>
      <w:r w:rsidRPr="00F56B40">
        <w:rPr>
          <w:b/>
          <w:bCs/>
          <w:sz w:val="28"/>
          <w:szCs w:val="28"/>
        </w:rPr>
        <w:t>ESR Status &amp; Research Progress</w:t>
      </w:r>
    </w:p>
    <w:p w14:paraId="462A86E7" w14:textId="64842A7D" w:rsidR="00157D4C" w:rsidRDefault="00157D4C" w:rsidP="00F56B40">
      <w:pPr>
        <w:jc w:val="both"/>
      </w:pPr>
      <w:r>
        <w:t>The active fellows</w:t>
      </w:r>
      <w:r w:rsidR="00F56B40">
        <w:t xml:space="preserve"> </w:t>
      </w:r>
      <w:r>
        <w:t>have completed their coursework and qualifying exams and are now fully engaged in thesis research. Their research spans key areas of alloy development, process simulation, corrosion and fatigue studies, lattice structures, biomaterials, and machine learning applications in additive manufacturing.</w:t>
      </w:r>
    </w:p>
    <w:p w14:paraId="68861951" w14:textId="77777777" w:rsidR="00157D4C" w:rsidRPr="00F56B40" w:rsidRDefault="00157D4C" w:rsidP="00157D4C">
      <w:pPr>
        <w:pStyle w:val="Heading1"/>
        <w:rPr>
          <w:b/>
          <w:bCs/>
          <w:sz w:val="28"/>
          <w:szCs w:val="28"/>
        </w:rPr>
      </w:pPr>
      <w:r w:rsidRPr="00F56B40">
        <w:rPr>
          <w:b/>
          <w:bCs/>
          <w:sz w:val="28"/>
          <w:szCs w:val="28"/>
        </w:rPr>
        <w:t>Secondments &amp; Mobility</w:t>
      </w:r>
    </w:p>
    <w:p w14:paraId="6B42308A" w14:textId="77777777" w:rsidR="00F56B40" w:rsidRDefault="00157D4C" w:rsidP="00F56B40">
      <w:pPr>
        <w:jc w:val="both"/>
      </w:pPr>
      <w:r>
        <w:t>- ESRs gained international exposure through secondments at:</w:t>
      </w:r>
    </w:p>
    <w:p w14:paraId="56E12E68" w14:textId="77777777" w:rsidR="00F56B40" w:rsidRDefault="00157D4C" w:rsidP="00F56B40">
      <w:pPr>
        <w:jc w:val="both"/>
      </w:pPr>
      <w:r>
        <w:t xml:space="preserve">  • University of Southern Denmark (SDU)</w:t>
      </w:r>
    </w:p>
    <w:p w14:paraId="6A8ABF78" w14:textId="77777777" w:rsidR="00F56B40" w:rsidRDefault="00157D4C" w:rsidP="00F56B40">
      <w:pPr>
        <w:jc w:val="both"/>
      </w:pPr>
      <w:r>
        <w:t xml:space="preserve">  • Technical University of Denmark (DTU)</w:t>
      </w:r>
    </w:p>
    <w:p w14:paraId="3B3CB0A4" w14:textId="77777777" w:rsidR="00F56B40" w:rsidRDefault="00157D4C" w:rsidP="00F56B40">
      <w:pPr>
        <w:jc w:val="both"/>
      </w:pPr>
      <w:r>
        <w:t xml:space="preserve">  • University of Udine, Italy</w:t>
      </w:r>
    </w:p>
    <w:p w14:paraId="412347CE" w14:textId="77777777" w:rsidR="00F56B40" w:rsidRDefault="00157D4C" w:rsidP="00F56B40">
      <w:pPr>
        <w:jc w:val="both"/>
      </w:pPr>
      <w:r>
        <w:t xml:space="preserve">  • Fraunhofer Innovation Platform – University of Twente, Netherlands</w:t>
      </w:r>
    </w:p>
    <w:p w14:paraId="7B862A9D" w14:textId="01868D92" w:rsidR="00157D4C" w:rsidRDefault="00157D4C" w:rsidP="00F56B40">
      <w:pPr>
        <w:jc w:val="both"/>
      </w:pPr>
      <w:r>
        <w:t xml:space="preserve">- Secondments allowed fellows to access </w:t>
      </w:r>
      <w:r w:rsidR="00F56B40">
        <w:t>more</w:t>
      </w:r>
      <w:r>
        <w:t xml:space="preserve"> facilities</w:t>
      </w:r>
      <w:r w:rsidR="00F56B40">
        <w:t xml:space="preserve"> </w:t>
      </w:r>
      <w:r>
        <w:t>and strengthen international</w:t>
      </w:r>
      <w:r w:rsidR="00F56B40">
        <w:t xml:space="preserve"> </w:t>
      </w:r>
      <w:r>
        <w:t>collaborations.</w:t>
      </w:r>
    </w:p>
    <w:p w14:paraId="651DC258" w14:textId="77777777" w:rsidR="00157D4C" w:rsidRPr="00FD0113" w:rsidRDefault="00157D4C" w:rsidP="00157D4C">
      <w:pPr>
        <w:pStyle w:val="Heading1"/>
        <w:rPr>
          <w:b/>
          <w:bCs/>
          <w:sz w:val="28"/>
          <w:szCs w:val="28"/>
        </w:rPr>
      </w:pPr>
      <w:r w:rsidRPr="00FD0113">
        <w:rPr>
          <w:b/>
          <w:bCs/>
          <w:sz w:val="28"/>
          <w:szCs w:val="28"/>
        </w:rPr>
        <w:t>Training &amp; Career Development</w:t>
      </w:r>
    </w:p>
    <w:p w14:paraId="4A475FCC" w14:textId="77777777" w:rsidR="00FD0113" w:rsidRDefault="00157D4C" w:rsidP="00FD0113">
      <w:pPr>
        <w:jc w:val="both"/>
      </w:pPr>
      <w:r>
        <w:t>- Fellows engaged in tailored Career Development Plans (CDPs), focusing on both technical expertise and transferable skills.</w:t>
      </w:r>
    </w:p>
    <w:p w14:paraId="13745EA7" w14:textId="77777777" w:rsidR="00FD0113" w:rsidRDefault="00157D4C" w:rsidP="00FD0113">
      <w:pPr>
        <w:jc w:val="both"/>
      </w:pPr>
      <w:r>
        <w:lastRenderedPageBreak/>
        <w:t>- Key skills developed include:</w:t>
      </w:r>
    </w:p>
    <w:p w14:paraId="2A4BEC28" w14:textId="77777777" w:rsidR="00FD0113" w:rsidRDefault="00157D4C" w:rsidP="00FD0113">
      <w:pPr>
        <w:jc w:val="both"/>
      </w:pPr>
      <w:r>
        <w:t xml:space="preserve">  • Advanced software (Thermo-Calc, CASTEP, COMSOL, Flow3D, LS-DYNA, ANSYS).</w:t>
      </w:r>
    </w:p>
    <w:p w14:paraId="6DFE8BF2" w14:textId="3DAF7D25" w:rsidR="00FD0113" w:rsidRDefault="00157D4C" w:rsidP="00FD0113">
      <w:pPr>
        <w:jc w:val="both"/>
      </w:pPr>
      <w:r>
        <w:t xml:space="preserve">  • Materials testing &amp; characterization (SEM, EBSD, XRD, CT, corrosion methods).</w:t>
      </w:r>
    </w:p>
    <w:p w14:paraId="69D6F45B" w14:textId="77777777" w:rsidR="00FD0113" w:rsidRDefault="00157D4C" w:rsidP="00FD0113">
      <w:pPr>
        <w:jc w:val="both"/>
      </w:pPr>
      <w:r>
        <w:t xml:space="preserve">  • AI &amp; machine learning for predictive modeling.</w:t>
      </w:r>
    </w:p>
    <w:p w14:paraId="41B586CE" w14:textId="76693A98" w:rsidR="00157D4C" w:rsidRDefault="00157D4C" w:rsidP="00FD0113">
      <w:pPr>
        <w:jc w:val="both"/>
      </w:pPr>
      <w:r>
        <w:t>- ESRs attended international schools, workshops, and project-organized events, enhancing their global networking and employability.</w:t>
      </w:r>
    </w:p>
    <w:p w14:paraId="6C0168B2" w14:textId="77777777" w:rsidR="00157D4C" w:rsidRPr="00FD0113" w:rsidRDefault="00157D4C" w:rsidP="00157D4C">
      <w:pPr>
        <w:pStyle w:val="Heading1"/>
        <w:rPr>
          <w:b/>
          <w:bCs/>
          <w:sz w:val="28"/>
          <w:szCs w:val="28"/>
        </w:rPr>
      </w:pPr>
      <w:r w:rsidRPr="00FD0113">
        <w:rPr>
          <w:b/>
          <w:bCs/>
          <w:sz w:val="28"/>
          <w:szCs w:val="28"/>
        </w:rPr>
        <w:t>Scientific Achievements</w:t>
      </w:r>
    </w:p>
    <w:p w14:paraId="359B1008" w14:textId="77777777" w:rsidR="00FD0113" w:rsidRDefault="00157D4C" w:rsidP="00FD0113">
      <w:pPr>
        <w:jc w:val="both"/>
      </w:pPr>
      <w:r>
        <w:t xml:space="preserve">- Publications: Numerous journal articles in Advanced Engineering Materials, Engineering Reports, Progress in Additive Manufacturing, Frontiers in Chemistry, Materials Science and Engineering A, </w:t>
      </w:r>
      <w:proofErr w:type="spellStart"/>
      <w:r>
        <w:t>Defence</w:t>
      </w:r>
      <w:proofErr w:type="spellEnd"/>
      <w:r>
        <w:t xml:space="preserve"> Technology, Materials Science and Engineering R, and others.</w:t>
      </w:r>
    </w:p>
    <w:p w14:paraId="777C470B" w14:textId="77777777" w:rsidR="00FD0113" w:rsidRDefault="00157D4C" w:rsidP="00FD0113">
      <w:pPr>
        <w:jc w:val="both"/>
      </w:pPr>
      <w:r>
        <w:t>- Conference Participation: ESRs presented at major conferences, including:</w:t>
      </w:r>
    </w:p>
    <w:p w14:paraId="037009D5" w14:textId="77777777" w:rsidR="00FD0113" w:rsidRDefault="00157D4C" w:rsidP="00FD0113">
      <w:pPr>
        <w:jc w:val="both"/>
      </w:pPr>
      <w:r>
        <w:t xml:space="preserve">  • FLOW-3D Users Conference 2024 (Hamburg)</w:t>
      </w:r>
    </w:p>
    <w:p w14:paraId="76A1EE89" w14:textId="77777777" w:rsidR="00FD0113" w:rsidRDefault="00157D4C" w:rsidP="00FD0113">
      <w:pPr>
        <w:jc w:val="both"/>
      </w:pPr>
      <w:r>
        <w:t xml:space="preserve">  • </w:t>
      </w:r>
      <w:proofErr w:type="spellStart"/>
      <w:r>
        <w:t>Eurocorr</w:t>
      </w:r>
      <w:proofErr w:type="spellEnd"/>
      <w:r>
        <w:t xml:space="preserve"> 2024 (Paris)</w:t>
      </w:r>
    </w:p>
    <w:p w14:paraId="2DC2DF1A" w14:textId="77777777" w:rsidR="00FD0113" w:rsidRDefault="00157D4C" w:rsidP="00FD0113">
      <w:pPr>
        <w:jc w:val="both"/>
      </w:pPr>
      <w:r>
        <w:t xml:space="preserve">  • EBAM 2025 (Germany)</w:t>
      </w:r>
    </w:p>
    <w:p w14:paraId="5B37D114" w14:textId="77777777" w:rsidR="00FD0113" w:rsidRDefault="00157D4C" w:rsidP="00FD0113">
      <w:pPr>
        <w:jc w:val="both"/>
      </w:pPr>
      <w:r>
        <w:t xml:space="preserve">  • EMCR 2025 (Venice)</w:t>
      </w:r>
    </w:p>
    <w:p w14:paraId="0E35F592" w14:textId="77777777" w:rsidR="00FD0113" w:rsidRDefault="00157D4C" w:rsidP="00FD0113">
      <w:pPr>
        <w:jc w:val="both"/>
      </w:pPr>
      <w:r>
        <w:t xml:space="preserve">  • TMS 2024 &amp; 2025 (USA)</w:t>
      </w:r>
    </w:p>
    <w:p w14:paraId="0D1A6908" w14:textId="471A8DB9" w:rsidR="00157D4C" w:rsidRDefault="00157D4C" w:rsidP="00FD0113">
      <w:pPr>
        <w:jc w:val="both"/>
      </w:pPr>
      <w:r>
        <w:t>- Patent: Filed in 2024 on Mathematical methods for track analysis and a system for melt pool dynamics in AM (Gazi University with ESR involvement).</w:t>
      </w:r>
    </w:p>
    <w:p w14:paraId="493C0ED4" w14:textId="77777777" w:rsidR="00157D4C" w:rsidRPr="00E3273B" w:rsidRDefault="00157D4C" w:rsidP="00157D4C">
      <w:pPr>
        <w:pStyle w:val="Heading1"/>
        <w:rPr>
          <w:b/>
          <w:bCs/>
          <w:sz w:val="28"/>
          <w:szCs w:val="28"/>
        </w:rPr>
      </w:pPr>
      <w:r w:rsidRPr="00E3273B">
        <w:rPr>
          <w:b/>
          <w:bCs/>
          <w:sz w:val="28"/>
          <w:szCs w:val="28"/>
        </w:rPr>
        <w:t>Highlights of ESR Research</w:t>
      </w:r>
    </w:p>
    <w:p w14:paraId="7A0D7FF5" w14:textId="66C7364F" w:rsidR="00E3273B" w:rsidRDefault="00157D4C" w:rsidP="00E3273B">
      <w:pPr>
        <w:jc w:val="both"/>
      </w:pPr>
      <w:r>
        <w:t>The active fellows</w:t>
      </w:r>
      <w:r w:rsidR="00E3273B">
        <w:t xml:space="preserve"> </w:t>
      </w:r>
      <w:r>
        <w:t>have completed their coursework and qualifying exams and are now fully engaged in thesis research. Their projects span a wide range of innovative research topics:</w:t>
      </w:r>
      <w:r>
        <w:br/>
      </w:r>
      <w:r>
        <w:br/>
        <w:t>- ESR</w:t>
      </w:r>
      <w:r w:rsidR="00E3273B">
        <w:t>0</w:t>
      </w:r>
      <w:r>
        <w:t xml:space="preserve">1 – Ahmed </w:t>
      </w:r>
      <w:proofErr w:type="spellStart"/>
      <w:r>
        <w:t>Abdulqader</w:t>
      </w:r>
      <w:proofErr w:type="spellEnd"/>
      <w:r>
        <w:t xml:space="preserve"> Ahmed </w:t>
      </w:r>
      <w:proofErr w:type="spellStart"/>
      <w:r>
        <w:t>al-Sakkaf</w:t>
      </w:r>
      <w:proofErr w:type="spellEnd"/>
      <w:r>
        <w:t xml:space="preserve"> (GU/EKTAM): Novel Al-Mg-Sc alloys for aerospace; combining computational alloy design (CASTEP, Thermo-Calc, MAAT) with AM experiments; structural design using </w:t>
      </w:r>
      <w:proofErr w:type="spellStart"/>
      <w:r>
        <w:t>nTopology</w:t>
      </w:r>
      <w:proofErr w:type="spellEnd"/>
      <w:r>
        <w:t xml:space="preserve"> &amp; </w:t>
      </w:r>
      <w:proofErr w:type="spellStart"/>
      <w:proofErr w:type="gramStart"/>
      <w:r>
        <w:t>Materialise</w:t>
      </w:r>
      <w:proofErr w:type="spellEnd"/>
      <w:proofErr w:type="gramEnd"/>
      <w:r>
        <w:t>; secondment at Fraunhofer Innovation Platform (Netherlands).</w:t>
      </w:r>
    </w:p>
    <w:p w14:paraId="54EA9B6E" w14:textId="77777777" w:rsidR="00E3273B" w:rsidRDefault="00157D4C" w:rsidP="00E3273B">
      <w:pPr>
        <w:jc w:val="both"/>
      </w:pPr>
      <w:r>
        <w:t>- ESR</w:t>
      </w:r>
      <w:r w:rsidR="00E3273B">
        <w:t>0</w:t>
      </w:r>
      <w:r>
        <w:t>2 – Muhammad Usama Zaheer (GU/EKTAM): Orthopedic biomaterials; surface modification of Ti6Al4V and CoCr implants; acid etching and bioactive coatings (HAP/</w:t>
      </w:r>
      <w:proofErr w:type="spellStart"/>
      <w:r>
        <w:t>rGO</w:t>
      </w:r>
      <w:proofErr w:type="spellEnd"/>
      <w:r>
        <w:t>); AI-assisted biomechanical modeling; predictive models for bone healing.</w:t>
      </w:r>
    </w:p>
    <w:p w14:paraId="04411FB8" w14:textId="77777777" w:rsidR="00E3273B" w:rsidRDefault="00157D4C" w:rsidP="00E3273B">
      <w:pPr>
        <w:jc w:val="both"/>
      </w:pPr>
      <w:r>
        <w:lastRenderedPageBreak/>
        <w:t>- ESR</w:t>
      </w:r>
      <w:r w:rsidR="00E3273B">
        <w:t>0</w:t>
      </w:r>
      <w:r>
        <w:t>3 – Muhammad Hassan Razzaq (GU/EKTAM): Additive manufacturing of porous biomedical implants; AI/ML integration for predictive modeling; secondment at University of Southern Denmark; nearing PhD thesis submission.</w:t>
      </w:r>
    </w:p>
    <w:p w14:paraId="74628E9B" w14:textId="77777777" w:rsidR="00E3273B" w:rsidRDefault="00157D4C" w:rsidP="00E3273B">
      <w:pPr>
        <w:jc w:val="both"/>
      </w:pPr>
      <w:r>
        <w:t>- ESR</w:t>
      </w:r>
      <w:r w:rsidR="00E3273B">
        <w:t>0</w:t>
      </w:r>
      <w:r>
        <w:t>7 – Syed Abbas Raza (GU/EKTAM): Optimization of Hot Isostatic Pressing (HIP) for AM Inconel and AlSi10Mg; modeling in Flow3D; systematic review on Inconel 939 alloys; correlation between VED, melt pool geometry, and porosity reduction.</w:t>
      </w:r>
    </w:p>
    <w:p w14:paraId="45257130" w14:textId="77777777" w:rsidR="00E3273B" w:rsidRDefault="00157D4C" w:rsidP="00E3273B">
      <w:pPr>
        <w:jc w:val="both"/>
      </w:pPr>
      <w:r>
        <w:t>- ESR</w:t>
      </w:r>
      <w:r w:rsidR="00E3273B">
        <w:t>0</w:t>
      </w:r>
      <w:r>
        <w:t>8 – Mahdi Alishavandi (GU/EKTAM): Single-track/multi-layer LPBF process monitoring of Inconel 625; thermal-fluid modeling of melt pools; EBSD/X-ray microtomography studies; patent filed for adaptive process parameter control; collaborations with TUSAŞ Engine Industries.</w:t>
      </w:r>
    </w:p>
    <w:p w14:paraId="5B5FAA8D" w14:textId="77777777" w:rsidR="00E3273B" w:rsidRDefault="00157D4C" w:rsidP="00E3273B">
      <w:pPr>
        <w:jc w:val="both"/>
      </w:pPr>
      <w:r>
        <w:t xml:space="preserve">- ESR11 – Hossein </w:t>
      </w:r>
      <w:proofErr w:type="spellStart"/>
      <w:r>
        <w:t>Laieghi</w:t>
      </w:r>
      <w:proofErr w:type="spellEnd"/>
      <w:r>
        <w:t xml:space="preserve"> (GU/EKTAM): Corrosion in AM AlSi10Mg alloys; </w:t>
      </w:r>
      <w:proofErr w:type="spellStart"/>
      <w:r>
        <w:t>potentiodynamic</w:t>
      </w:r>
      <w:proofErr w:type="spellEnd"/>
      <w:r>
        <w:t xml:space="preserve"> polarization, EIS, and intergranular corrosion tests; impact of stress-relief, HIP, and HIP+T6 post-processing; residual stress–corrosion relationships.</w:t>
      </w:r>
    </w:p>
    <w:p w14:paraId="71FA7017" w14:textId="77777777" w:rsidR="00E3273B" w:rsidRDefault="00157D4C" w:rsidP="00E3273B">
      <w:pPr>
        <w:jc w:val="both"/>
      </w:pPr>
      <w:r>
        <w:t xml:space="preserve">- ESR14 – Emre </w:t>
      </w:r>
      <w:proofErr w:type="spellStart"/>
      <w:r>
        <w:t>Güneş</w:t>
      </w:r>
      <w:proofErr w:type="spellEnd"/>
      <w:r>
        <w:t xml:space="preserve"> (METU): High-entropy alloys and microstructure characterization; experimental training in SEM, TEM, XRD, arc melting, nanoindentation; work on Ti10V5Al30Nb20Mo25Cu10 HEA; conference presentations at TMS 2024 &amp; 2025.</w:t>
      </w:r>
    </w:p>
    <w:p w14:paraId="2DC1782C" w14:textId="77777777" w:rsidR="00E3273B" w:rsidRDefault="00157D4C" w:rsidP="00E3273B">
      <w:pPr>
        <w:jc w:val="both"/>
      </w:pPr>
      <w:r>
        <w:t>- ESR18 – V. V. S. S. N. Varma (ITU): 7xxx Al alloys in AM; corrosion resistance, powder production, CFD modeling, and DFT simulations; review article published in IJAMT; secondment at DTU; focus on computational–experimental synergy.</w:t>
      </w:r>
    </w:p>
    <w:p w14:paraId="0CAF6C72" w14:textId="77777777" w:rsidR="00E3273B" w:rsidRDefault="00157D4C" w:rsidP="00E3273B">
      <w:pPr>
        <w:jc w:val="both"/>
      </w:pPr>
      <w:r>
        <w:t>- ESR20 – Muhammad Muteeb Butt (ITU): Defect-sensitive fatigue life prediction in AlSi10Mg; micro-CT defect quantification; statistical and ML-based modeling; empirical links between defect attributes and fatigue behavior; collaborations in Germany and Italy.</w:t>
      </w:r>
    </w:p>
    <w:p w14:paraId="27F67340" w14:textId="77777777" w:rsidR="00E3273B" w:rsidRDefault="00157D4C" w:rsidP="00E3273B">
      <w:pPr>
        <w:jc w:val="both"/>
      </w:pPr>
      <w:r>
        <w:t>- ESR21 – Muhammad Arslan Bin Riaz (IZTECH): Dynamic compression behavior of Ti6Al4V lattice structures; constitutive modeling with LS-DYNA; review on lattice structures in aerospace/medical fields; experimental validation of heat-treated EBM samples.</w:t>
      </w:r>
    </w:p>
    <w:p w14:paraId="2011BA54" w14:textId="34B01A1E" w:rsidR="00157D4C" w:rsidRDefault="00157D4C" w:rsidP="00E3273B">
      <w:pPr>
        <w:jc w:val="both"/>
      </w:pPr>
      <w:r>
        <w:t>- ESR22 – Mian Imran (IZTECH): Quasi-static/dynamic behavior of novel hybrid TPMS lattice structures in AlSi10Mg; constitutive modeling (Johnson-Cook, GISSMO); residual stress effects on performance; advanced modeling for crashworthiness.</w:t>
      </w:r>
    </w:p>
    <w:p w14:paraId="6325DDCA" w14:textId="77777777" w:rsidR="00157D4C" w:rsidRPr="00B47808" w:rsidRDefault="00157D4C" w:rsidP="00157D4C">
      <w:pPr>
        <w:pStyle w:val="Heading1"/>
        <w:rPr>
          <w:b/>
          <w:bCs/>
          <w:sz w:val="28"/>
          <w:szCs w:val="28"/>
        </w:rPr>
      </w:pPr>
      <w:r w:rsidRPr="00B47808">
        <w:rPr>
          <w:b/>
          <w:bCs/>
          <w:sz w:val="28"/>
          <w:szCs w:val="28"/>
        </w:rPr>
        <w:t>Dissemination &amp; Outreach</w:t>
      </w:r>
    </w:p>
    <w:p w14:paraId="03F8F3FA" w14:textId="77777777" w:rsidR="00B47808" w:rsidRDefault="00157D4C" w:rsidP="00B47808">
      <w:pPr>
        <w:jc w:val="both"/>
      </w:pPr>
      <w:r>
        <w:t xml:space="preserve">- Active presence through social media platforms (LinkedIn, Facebook, Instagram) and the project website: </w:t>
      </w:r>
      <w:hyperlink r:id="rId4" w:history="1">
        <w:r w:rsidR="00B47808" w:rsidRPr="001276C4">
          <w:rPr>
            <w:rStyle w:val="Hyperlink"/>
          </w:rPr>
          <w:t>www.a2m2tech.org.tr</w:t>
        </w:r>
      </w:hyperlink>
      <w:r w:rsidR="00B47808">
        <w:t>.</w:t>
      </w:r>
    </w:p>
    <w:p w14:paraId="59BC0C11" w14:textId="77777777" w:rsidR="00B47808" w:rsidRDefault="00157D4C" w:rsidP="00B47808">
      <w:pPr>
        <w:jc w:val="both"/>
      </w:pPr>
      <w:r>
        <w:t>- Organization of the 1st International Conference on Advanced Materials and Advanced Manufacturing (A2M2C-1) in Ankara (October 2023).</w:t>
      </w:r>
    </w:p>
    <w:p w14:paraId="3EBA6DD8" w14:textId="1E27C2E1" w:rsidR="00157D4C" w:rsidRDefault="00157D4C" w:rsidP="00B47808">
      <w:pPr>
        <w:jc w:val="both"/>
      </w:pPr>
      <w:r>
        <w:lastRenderedPageBreak/>
        <w:t>- Broad engagement with both academic and industrial communities in Europe and beyond.</w:t>
      </w:r>
    </w:p>
    <w:p w14:paraId="3B944BEC" w14:textId="77777777" w:rsidR="00157D4C" w:rsidRPr="00B47808" w:rsidRDefault="00157D4C" w:rsidP="00157D4C">
      <w:pPr>
        <w:pStyle w:val="Heading1"/>
        <w:rPr>
          <w:b/>
          <w:bCs/>
          <w:sz w:val="28"/>
          <w:szCs w:val="28"/>
        </w:rPr>
      </w:pPr>
      <w:r w:rsidRPr="00B47808">
        <w:rPr>
          <w:b/>
          <w:bCs/>
          <w:sz w:val="28"/>
          <w:szCs w:val="28"/>
        </w:rPr>
        <w:t>Looking Ahead</w:t>
      </w:r>
    </w:p>
    <w:p w14:paraId="6F3B7A55" w14:textId="77777777" w:rsidR="00E73198" w:rsidRDefault="00157D4C" w:rsidP="00B47808">
      <w:pPr>
        <w:jc w:val="both"/>
      </w:pPr>
      <w:r>
        <w:t>As the project heads towards its final phase (2025–2026), focus will be on:</w:t>
      </w:r>
    </w:p>
    <w:p w14:paraId="27569904" w14:textId="77777777" w:rsidR="00E73198" w:rsidRDefault="00157D4C" w:rsidP="00B47808">
      <w:pPr>
        <w:jc w:val="both"/>
      </w:pPr>
      <w:r>
        <w:t>- Completing ESR theses and PhD defenses.</w:t>
      </w:r>
    </w:p>
    <w:p w14:paraId="5DADB4A0" w14:textId="77777777" w:rsidR="00E73198" w:rsidRDefault="00157D4C" w:rsidP="00B47808">
      <w:pPr>
        <w:jc w:val="both"/>
      </w:pPr>
      <w:r>
        <w:t>- Expanding secondments and collaborations.</w:t>
      </w:r>
    </w:p>
    <w:p w14:paraId="52557139" w14:textId="77777777" w:rsidR="00E73198" w:rsidRDefault="00157D4C" w:rsidP="00B47808">
      <w:pPr>
        <w:jc w:val="both"/>
      </w:pPr>
      <w:r>
        <w:t>- Publishing high-impact research.</w:t>
      </w:r>
    </w:p>
    <w:p w14:paraId="43316CE8" w14:textId="0A71FF22" w:rsidR="00157D4C" w:rsidRDefault="00157D4C" w:rsidP="00B47808">
      <w:pPr>
        <w:jc w:val="both"/>
      </w:pPr>
      <w:r>
        <w:br/>
      </w:r>
    </w:p>
    <w:p w14:paraId="27152417" w14:textId="77777777" w:rsidR="00F87621" w:rsidRDefault="00F87621"/>
    <w:sectPr w:rsidR="00F87621" w:rsidSect="00157D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21"/>
    <w:rsid w:val="00157D4C"/>
    <w:rsid w:val="003D4683"/>
    <w:rsid w:val="007D02E2"/>
    <w:rsid w:val="00A02159"/>
    <w:rsid w:val="00B47808"/>
    <w:rsid w:val="00E3273B"/>
    <w:rsid w:val="00E73198"/>
    <w:rsid w:val="00F56B40"/>
    <w:rsid w:val="00F87621"/>
    <w:rsid w:val="00FD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29AB"/>
  <w15:chartTrackingRefBased/>
  <w15:docId w15:val="{FE199772-8A16-4E5F-B904-D0C5B296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D4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876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76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76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762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762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76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76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76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76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621"/>
    <w:rPr>
      <w:rFonts w:eastAsiaTheme="majorEastAsia" w:cstheme="majorBidi"/>
      <w:color w:val="272727" w:themeColor="text1" w:themeTint="D8"/>
    </w:rPr>
  </w:style>
  <w:style w:type="paragraph" w:styleId="Title">
    <w:name w:val="Title"/>
    <w:basedOn w:val="Normal"/>
    <w:next w:val="Normal"/>
    <w:link w:val="TitleChar"/>
    <w:uiPriority w:val="10"/>
    <w:qFormat/>
    <w:rsid w:val="00F876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7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62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7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62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7621"/>
    <w:rPr>
      <w:i/>
      <w:iCs/>
      <w:color w:val="404040" w:themeColor="text1" w:themeTint="BF"/>
    </w:rPr>
  </w:style>
  <w:style w:type="paragraph" w:styleId="ListParagraph">
    <w:name w:val="List Paragraph"/>
    <w:basedOn w:val="Normal"/>
    <w:uiPriority w:val="34"/>
    <w:qFormat/>
    <w:rsid w:val="00F8762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F87621"/>
    <w:rPr>
      <w:i/>
      <w:iCs/>
      <w:color w:val="0F4761" w:themeColor="accent1" w:themeShade="BF"/>
    </w:rPr>
  </w:style>
  <w:style w:type="paragraph" w:styleId="IntenseQuote">
    <w:name w:val="Intense Quote"/>
    <w:basedOn w:val="Normal"/>
    <w:next w:val="Normal"/>
    <w:link w:val="IntenseQuoteChar"/>
    <w:uiPriority w:val="30"/>
    <w:qFormat/>
    <w:rsid w:val="00F876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7621"/>
    <w:rPr>
      <w:i/>
      <w:iCs/>
      <w:color w:val="0F4761" w:themeColor="accent1" w:themeShade="BF"/>
    </w:rPr>
  </w:style>
  <w:style w:type="character" w:styleId="IntenseReference">
    <w:name w:val="Intense Reference"/>
    <w:basedOn w:val="DefaultParagraphFont"/>
    <w:uiPriority w:val="32"/>
    <w:qFormat/>
    <w:rsid w:val="00F87621"/>
    <w:rPr>
      <w:b/>
      <w:bCs/>
      <w:smallCaps/>
      <w:color w:val="0F4761" w:themeColor="accent1" w:themeShade="BF"/>
      <w:spacing w:val="5"/>
    </w:rPr>
  </w:style>
  <w:style w:type="character" w:styleId="Hyperlink">
    <w:name w:val="Hyperlink"/>
    <w:basedOn w:val="DefaultParagraphFont"/>
    <w:uiPriority w:val="99"/>
    <w:unhideWhenUsed/>
    <w:rsid w:val="00B47808"/>
    <w:rPr>
      <w:color w:val="467886" w:themeColor="hyperlink"/>
      <w:u w:val="single"/>
    </w:rPr>
  </w:style>
  <w:style w:type="character" w:styleId="UnresolvedMention">
    <w:name w:val="Unresolved Mention"/>
    <w:basedOn w:val="DefaultParagraphFont"/>
    <w:uiPriority w:val="99"/>
    <w:semiHidden/>
    <w:unhideWhenUsed/>
    <w:rsid w:val="00B47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2m2tech.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 ANSARI</dc:creator>
  <cp:keywords/>
  <dc:description/>
  <cp:lastModifiedBy>Peyman ANSARI</cp:lastModifiedBy>
  <cp:revision>7</cp:revision>
  <dcterms:created xsi:type="dcterms:W3CDTF">2025-09-23T16:41:00Z</dcterms:created>
  <dcterms:modified xsi:type="dcterms:W3CDTF">2025-09-23T16:52:00Z</dcterms:modified>
</cp:coreProperties>
</file>